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C1" w:rsidRDefault="007575C1">
      <w:r>
        <w:rPr>
          <w:noProof/>
        </w:rPr>
        <w:drawing>
          <wp:inline distT="0" distB="0" distL="0" distR="0" wp14:anchorId="45371D8C">
            <wp:extent cx="1371600" cy="6464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46430"/>
                    </a:xfrm>
                    <a:prstGeom prst="rect">
                      <a:avLst/>
                    </a:prstGeom>
                    <a:noFill/>
                  </pic:spPr>
                </pic:pic>
              </a:graphicData>
            </a:graphic>
          </wp:inline>
        </w:drawing>
      </w:r>
    </w:p>
    <w:p w:rsidR="007575C1" w:rsidRDefault="007575C1"/>
    <w:p w:rsidR="007575C1" w:rsidRPr="00242007" w:rsidRDefault="003E766D" w:rsidP="007575C1">
      <w:pPr>
        <w:spacing w:after="0"/>
        <w:jc w:val="center"/>
        <w:rPr>
          <w:rFonts w:asciiTheme="majorHAnsi" w:hAnsiTheme="majorHAnsi" w:cstheme="majorHAnsi"/>
          <w:b/>
          <w:sz w:val="32"/>
          <w:szCs w:val="32"/>
        </w:rPr>
      </w:pPr>
      <w:r w:rsidRPr="00242007">
        <w:rPr>
          <w:rFonts w:asciiTheme="majorHAnsi" w:hAnsiTheme="majorHAnsi" w:cstheme="majorHAnsi"/>
          <w:b/>
          <w:sz w:val="32"/>
          <w:szCs w:val="32"/>
        </w:rPr>
        <w:t>Notice explicative</w:t>
      </w:r>
      <w:r w:rsidR="007575C1" w:rsidRPr="00242007">
        <w:rPr>
          <w:rFonts w:asciiTheme="majorHAnsi" w:hAnsiTheme="majorHAnsi" w:cstheme="majorHAnsi"/>
          <w:b/>
          <w:sz w:val="32"/>
          <w:szCs w:val="32"/>
        </w:rPr>
        <w:t xml:space="preserve"> relative aux</w:t>
      </w:r>
    </w:p>
    <w:p w:rsidR="009054CA" w:rsidRDefault="00242007" w:rsidP="007575C1">
      <w:pPr>
        <w:spacing w:after="0"/>
        <w:jc w:val="center"/>
        <w:rPr>
          <w:rFonts w:asciiTheme="majorHAnsi" w:hAnsiTheme="majorHAnsi" w:cstheme="majorHAnsi"/>
          <w:b/>
          <w:sz w:val="32"/>
          <w:szCs w:val="32"/>
        </w:rPr>
      </w:pPr>
      <w:proofErr w:type="gramStart"/>
      <w:r w:rsidRPr="00242007">
        <w:rPr>
          <w:rFonts w:asciiTheme="majorHAnsi" w:hAnsiTheme="majorHAnsi" w:cstheme="majorHAnsi"/>
          <w:b/>
          <w:sz w:val="32"/>
          <w:szCs w:val="32"/>
        </w:rPr>
        <w:t>s</w:t>
      </w:r>
      <w:r w:rsidR="003E766D" w:rsidRPr="00242007">
        <w:rPr>
          <w:rFonts w:asciiTheme="majorHAnsi" w:hAnsiTheme="majorHAnsi" w:cstheme="majorHAnsi"/>
          <w:b/>
          <w:sz w:val="32"/>
          <w:szCs w:val="32"/>
        </w:rPr>
        <w:t>ubvention</w:t>
      </w:r>
      <w:r w:rsidR="007575C1" w:rsidRPr="00242007">
        <w:rPr>
          <w:rFonts w:asciiTheme="majorHAnsi" w:hAnsiTheme="majorHAnsi" w:cstheme="majorHAnsi"/>
          <w:b/>
          <w:sz w:val="32"/>
          <w:szCs w:val="32"/>
        </w:rPr>
        <w:t>s</w:t>
      </w:r>
      <w:proofErr w:type="gramEnd"/>
      <w:r w:rsidR="003E766D" w:rsidRPr="00242007">
        <w:rPr>
          <w:rFonts w:asciiTheme="majorHAnsi" w:hAnsiTheme="majorHAnsi" w:cstheme="majorHAnsi"/>
          <w:b/>
          <w:sz w:val="32"/>
          <w:szCs w:val="32"/>
        </w:rPr>
        <w:t xml:space="preserve"> départementale</w:t>
      </w:r>
      <w:r w:rsidR="007575C1" w:rsidRPr="00242007">
        <w:rPr>
          <w:rFonts w:asciiTheme="majorHAnsi" w:hAnsiTheme="majorHAnsi" w:cstheme="majorHAnsi"/>
          <w:b/>
          <w:sz w:val="32"/>
          <w:szCs w:val="32"/>
        </w:rPr>
        <w:t>s</w:t>
      </w:r>
      <w:r w:rsidR="003E766D" w:rsidRPr="00242007">
        <w:rPr>
          <w:rFonts w:asciiTheme="majorHAnsi" w:hAnsiTheme="majorHAnsi" w:cstheme="majorHAnsi"/>
          <w:b/>
          <w:sz w:val="32"/>
          <w:szCs w:val="32"/>
        </w:rPr>
        <w:t xml:space="preserve"> </w:t>
      </w:r>
      <w:r w:rsidR="009054CA">
        <w:rPr>
          <w:rFonts w:asciiTheme="majorHAnsi" w:hAnsiTheme="majorHAnsi" w:cstheme="majorHAnsi"/>
          <w:b/>
          <w:sz w:val="32"/>
          <w:szCs w:val="32"/>
        </w:rPr>
        <w:t>de fonctionnement</w:t>
      </w:r>
    </w:p>
    <w:p w:rsidR="007575C1" w:rsidRDefault="00242007" w:rsidP="007575C1">
      <w:pPr>
        <w:spacing w:after="0"/>
        <w:jc w:val="center"/>
        <w:rPr>
          <w:rFonts w:asciiTheme="majorHAnsi" w:hAnsiTheme="majorHAnsi" w:cstheme="majorHAnsi"/>
          <w:b/>
          <w:sz w:val="32"/>
          <w:szCs w:val="32"/>
        </w:rPr>
      </w:pPr>
      <w:proofErr w:type="gramStart"/>
      <w:r w:rsidRPr="00242007">
        <w:rPr>
          <w:rFonts w:asciiTheme="majorHAnsi" w:hAnsiTheme="majorHAnsi" w:cstheme="majorHAnsi"/>
          <w:b/>
          <w:sz w:val="32"/>
          <w:szCs w:val="32"/>
        </w:rPr>
        <w:t>attribuées</w:t>
      </w:r>
      <w:proofErr w:type="gramEnd"/>
      <w:r w:rsidRPr="00242007">
        <w:rPr>
          <w:rFonts w:asciiTheme="majorHAnsi" w:hAnsiTheme="majorHAnsi" w:cstheme="majorHAnsi"/>
          <w:b/>
          <w:sz w:val="32"/>
          <w:szCs w:val="32"/>
        </w:rPr>
        <w:t xml:space="preserve"> </w:t>
      </w:r>
      <w:r w:rsidR="003E766D" w:rsidRPr="00242007">
        <w:rPr>
          <w:rFonts w:asciiTheme="majorHAnsi" w:hAnsiTheme="majorHAnsi" w:cstheme="majorHAnsi"/>
          <w:b/>
          <w:sz w:val="32"/>
          <w:szCs w:val="32"/>
        </w:rPr>
        <w:t xml:space="preserve">aux </w:t>
      </w:r>
      <w:r w:rsidR="009054CA">
        <w:rPr>
          <w:rFonts w:asciiTheme="majorHAnsi" w:hAnsiTheme="majorHAnsi" w:cstheme="majorHAnsi"/>
          <w:b/>
          <w:sz w:val="32"/>
          <w:szCs w:val="32"/>
        </w:rPr>
        <w:t xml:space="preserve">ateliers et </w:t>
      </w:r>
      <w:r w:rsidR="00082F33" w:rsidRPr="00242007">
        <w:rPr>
          <w:rFonts w:asciiTheme="majorHAnsi" w:hAnsiTheme="majorHAnsi" w:cstheme="majorHAnsi"/>
          <w:b/>
          <w:sz w:val="32"/>
          <w:szCs w:val="32"/>
        </w:rPr>
        <w:t>chantiers d’insertion</w:t>
      </w:r>
    </w:p>
    <w:p w:rsidR="00920372" w:rsidRPr="00242007" w:rsidRDefault="00920372" w:rsidP="007575C1">
      <w:pPr>
        <w:spacing w:after="0"/>
        <w:jc w:val="center"/>
        <w:rPr>
          <w:rFonts w:asciiTheme="majorHAnsi" w:hAnsiTheme="majorHAnsi" w:cstheme="majorHAnsi"/>
          <w:b/>
          <w:sz w:val="32"/>
          <w:szCs w:val="32"/>
        </w:rPr>
      </w:pPr>
    </w:p>
    <w:p w:rsidR="00ED55A5" w:rsidRPr="00242007" w:rsidRDefault="003E766D" w:rsidP="007575C1">
      <w:pPr>
        <w:spacing w:after="0"/>
        <w:jc w:val="center"/>
        <w:rPr>
          <w:rFonts w:asciiTheme="majorHAnsi" w:hAnsiTheme="majorHAnsi" w:cstheme="majorHAnsi"/>
          <w:b/>
          <w:sz w:val="32"/>
          <w:szCs w:val="32"/>
        </w:rPr>
      </w:pPr>
      <w:r w:rsidRPr="00242007">
        <w:rPr>
          <w:rFonts w:asciiTheme="majorHAnsi" w:hAnsiTheme="majorHAnsi" w:cstheme="majorHAnsi"/>
          <w:b/>
          <w:sz w:val="32"/>
          <w:szCs w:val="32"/>
        </w:rPr>
        <w:t>Mode de calcul et critères d’attribution</w:t>
      </w:r>
    </w:p>
    <w:p w:rsidR="007575C1" w:rsidRPr="00242007" w:rsidRDefault="007575C1" w:rsidP="007575C1">
      <w:pPr>
        <w:spacing w:after="0"/>
        <w:jc w:val="center"/>
        <w:rPr>
          <w:rFonts w:asciiTheme="majorHAnsi" w:hAnsiTheme="majorHAnsi" w:cstheme="majorHAnsi"/>
          <w:b/>
          <w:sz w:val="32"/>
          <w:szCs w:val="32"/>
        </w:rPr>
      </w:pPr>
    </w:p>
    <w:p w:rsidR="00ED55A5" w:rsidRPr="00242007" w:rsidRDefault="003E766D">
      <w:pPr>
        <w:rPr>
          <w:rFonts w:asciiTheme="majorHAnsi" w:hAnsiTheme="majorHAnsi" w:cstheme="majorHAnsi"/>
        </w:rPr>
      </w:pPr>
      <w:bookmarkStart w:id="0" w:name="_Hlk207351692"/>
      <w:proofErr w:type="gramStart"/>
      <w:r w:rsidRPr="00242007">
        <w:rPr>
          <w:rFonts w:ascii="Segoe UI Emoji" w:hAnsi="Segoe UI Emoji" w:cs="Segoe UI Emoji"/>
        </w:rPr>
        <w:t>🎯</w:t>
      </w:r>
      <w:proofErr w:type="gramEnd"/>
      <w:r w:rsidRPr="00242007">
        <w:rPr>
          <w:rFonts w:asciiTheme="majorHAnsi" w:hAnsiTheme="majorHAnsi" w:cstheme="majorHAnsi"/>
          <w:b/>
          <w:sz w:val="24"/>
          <w:szCs w:val="24"/>
        </w:rPr>
        <w:t xml:space="preserve"> Objectif</w:t>
      </w:r>
    </w:p>
    <w:p w:rsidR="00ED55A5" w:rsidRPr="00242007" w:rsidRDefault="003E766D" w:rsidP="009054CA">
      <w:pPr>
        <w:jc w:val="both"/>
        <w:rPr>
          <w:rFonts w:asciiTheme="majorHAnsi" w:hAnsiTheme="majorHAnsi" w:cstheme="majorHAnsi"/>
        </w:rPr>
      </w:pPr>
      <w:r w:rsidRPr="00242007">
        <w:rPr>
          <w:rFonts w:asciiTheme="majorHAnsi" w:hAnsiTheme="majorHAnsi" w:cstheme="majorHAnsi"/>
        </w:rPr>
        <w:t xml:space="preserve">Cette notice vise à expliquer aux </w:t>
      </w:r>
      <w:r w:rsidR="00D06680" w:rsidRPr="00242007">
        <w:rPr>
          <w:rFonts w:asciiTheme="majorHAnsi" w:hAnsiTheme="majorHAnsi" w:cstheme="majorHAnsi"/>
        </w:rPr>
        <w:t>chantiers d’insertion</w:t>
      </w:r>
      <w:r w:rsidRPr="00242007">
        <w:rPr>
          <w:rFonts w:asciiTheme="majorHAnsi" w:hAnsiTheme="majorHAnsi" w:cstheme="majorHAnsi"/>
        </w:rPr>
        <w:t xml:space="preserve"> les règles de calcul de la subvention </w:t>
      </w:r>
      <w:r w:rsidR="009054CA">
        <w:rPr>
          <w:rFonts w:asciiTheme="majorHAnsi" w:hAnsiTheme="majorHAnsi" w:cstheme="majorHAnsi"/>
        </w:rPr>
        <w:t xml:space="preserve">de fonctionnement </w:t>
      </w:r>
      <w:r w:rsidRPr="00242007">
        <w:rPr>
          <w:rFonts w:asciiTheme="majorHAnsi" w:hAnsiTheme="majorHAnsi" w:cstheme="majorHAnsi"/>
        </w:rPr>
        <w:t xml:space="preserve">attribuée par le Département, afin de garantir transparence, équité et </w:t>
      </w:r>
      <w:r w:rsidR="00242007" w:rsidRPr="00242007">
        <w:rPr>
          <w:rFonts w:asciiTheme="majorHAnsi" w:hAnsiTheme="majorHAnsi" w:cstheme="majorHAnsi"/>
        </w:rPr>
        <w:t>compréhension</w:t>
      </w:r>
      <w:r w:rsidRPr="00242007">
        <w:rPr>
          <w:rFonts w:asciiTheme="majorHAnsi" w:hAnsiTheme="majorHAnsi" w:cstheme="majorHAnsi"/>
        </w:rPr>
        <w:t xml:space="preserve"> partagée du dispositif.</w:t>
      </w:r>
    </w:p>
    <w:p w:rsidR="00ED55A5" w:rsidRPr="00242007" w:rsidRDefault="003E766D">
      <w:pPr>
        <w:rPr>
          <w:rFonts w:asciiTheme="majorHAnsi" w:hAnsiTheme="majorHAnsi" w:cstheme="majorHAnsi"/>
        </w:rPr>
      </w:pPr>
      <w:bookmarkStart w:id="1" w:name="_Hlk207351725"/>
      <w:bookmarkEnd w:id="0"/>
      <w:r w:rsidRPr="00242007">
        <w:rPr>
          <w:rFonts w:ascii="Segoe UI Emoji" w:hAnsi="Segoe UI Emoji" w:cs="Segoe UI Emoji"/>
        </w:rPr>
        <w:t>⚙</w:t>
      </w:r>
      <w:r w:rsidRPr="00242007">
        <w:rPr>
          <w:rFonts w:asciiTheme="majorHAnsi" w:hAnsiTheme="majorHAnsi" w:cstheme="majorHAnsi"/>
        </w:rPr>
        <w:t xml:space="preserve">️ </w:t>
      </w:r>
      <w:r w:rsidRPr="00242007">
        <w:rPr>
          <w:rFonts w:asciiTheme="majorHAnsi" w:hAnsiTheme="majorHAnsi" w:cstheme="majorHAnsi"/>
          <w:b/>
          <w:sz w:val="24"/>
          <w:szCs w:val="24"/>
        </w:rPr>
        <w:t>Principe général</w:t>
      </w:r>
    </w:p>
    <w:p w:rsidR="007575C1" w:rsidRPr="00242007" w:rsidRDefault="003E766D" w:rsidP="007575C1">
      <w:pPr>
        <w:rPr>
          <w:rFonts w:asciiTheme="majorHAnsi" w:hAnsiTheme="majorHAnsi" w:cstheme="majorHAnsi"/>
        </w:rPr>
      </w:pPr>
      <w:bookmarkStart w:id="2" w:name="_Hlk207351748"/>
      <w:bookmarkStart w:id="3" w:name="_Hlk207710316"/>
      <w:bookmarkEnd w:id="1"/>
      <w:r w:rsidRPr="00242007">
        <w:rPr>
          <w:rFonts w:asciiTheme="majorHAnsi" w:hAnsiTheme="majorHAnsi" w:cstheme="majorHAnsi"/>
        </w:rPr>
        <w:t xml:space="preserve">La subvention est composée de deux parts </w:t>
      </w:r>
      <w:r w:rsidR="0054619C">
        <w:rPr>
          <w:rFonts w:asciiTheme="majorHAnsi" w:hAnsiTheme="majorHAnsi" w:cstheme="majorHAnsi"/>
        </w:rPr>
        <w:t xml:space="preserve">réparties comme suit </w:t>
      </w:r>
      <w:r w:rsidRPr="00242007">
        <w:rPr>
          <w:rFonts w:asciiTheme="majorHAnsi" w:hAnsiTheme="majorHAnsi" w:cstheme="majorHAnsi"/>
        </w:rPr>
        <w:t>:</w:t>
      </w:r>
    </w:p>
    <w:tbl>
      <w:tblPr>
        <w:tblStyle w:val="Grilledutableau1"/>
        <w:tblW w:w="9810" w:type="dxa"/>
        <w:tblInd w:w="108" w:type="dxa"/>
        <w:tblLook w:val="04A0" w:firstRow="1" w:lastRow="0" w:firstColumn="1" w:lastColumn="0" w:noHBand="0" w:noVBand="1"/>
      </w:tblPr>
      <w:tblGrid>
        <w:gridCol w:w="1872"/>
        <w:gridCol w:w="2977"/>
        <w:gridCol w:w="4961"/>
      </w:tblGrid>
      <w:tr w:rsidR="007575C1" w:rsidRPr="00242007" w:rsidTr="009002A0">
        <w:tc>
          <w:tcPr>
            <w:tcW w:w="1872" w:type="dxa"/>
          </w:tcPr>
          <w:bookmarkEnd w:id="2"/>
          <w:p w:rsidR="007575C1" w:rsidRPr="00242007" w:rsidRDefault="007575C1" w:rsidP="007575C1">
            <w:pPr>
              <w:spacing w:after="200" w:line="276" w:lineRule="auto"/>
              <w:rPr>
                <w:rFonts w:asciiTheme="majorHAnsi" w:hAnsiTheme="majorHAnsi" w:cstheme="majorHAnsi"/>
                <w:b/>
              </w:rPr>
            </w:pPr>
            <w:r w:rsidRPr="00242007">
              <w:rPr>
                <w:rFonts w:asciiTheme="majorHAnsi" w:hAnsiTheme="majorHAnsi" w:cstheme="majorHAnsi"/>
                <w:b/>
              </w:rPr>
              <w:t>Composante</w:t>
            </w:r>
          </w:p>
        </w:tc>
        <w:tc>
          <w:tcPr>
            <w:tcW w:w="2977" w:type="dxa"/>
          </w:tcPr>
          <w:p w:rsidR="007575C1" w:rsidRPr="00242007" w:rsidRDefault="007575C1" w:rsidP="007575C1">
            <w:pPr>
              <w:spacing w:after="200" w:line="276" w:lineRule="auto"/>
              <w:rPr>
                <w:rFonts w:asciiTheme="majorHAnsi" w:hAnsiTheme="majorHAnsi" w:cstheme="majorHAnsi"/>
                <w:b/>
              </w:rPr>
            </w:pPr>
            <w:r w:rsidRPr="00242007">
              <w:rPr>
                <w:rFonts w:asciiTheme="majorHAnsi" w:hAnsiTheme="majorHAnsi" w:cstheme="majorHAnsi"/>
                <w:b/>
              </w:rPr>
              <w:t>Poids dans la subvention</w:t>
            </w:r>
          </w:p>
        </w:tc>
        <w:tc>
          <w:tcPr>
            <w:tcW w:w="4961" w:type="dxa"/>
          </w:tcPr>
          <w:p w:rsidR="007575C1" w:rsidRPr="00242007" w:rsidRDefault="007575C1" w:rsidP="007575C1">
            <w:pPr>
              <w:spacing w:after="200" w:line="276" w:lineRule="auto"/>
              <w:rPr>
                <w:rFonts w:asciiTheme="majorHAnsi" w:hAnsiTheme="majorHAnsi" w:cstheme="majorHAnsi"/>
                <w:b/>
              </w:rPr>
            </w:pPr>
            <w:r w:rsidRPr="00242007">
              <w:rPr>
                <w:rFonts w:asciiTheme="majorHAnsi" w:hAnsiTheme="majorHAnsi" w:cstheme="majorHAnsi"/>
                <w:b/>
              </w:rPr>
              <w:t>Critère principal</w:t>
            </w:r>
          </w:p>
        </w:tc>
      </w:tr>
      <w:tr w:rsidR="007575C1" w:rsidRPr="00242007" w:rsidTr="009002A0">
        <w:tc>
          <w:tcPr>
            <w:tcW w:w="1872" w:type="dxa"/>
          </w:tcPr>
          <w:p w:rsidR="007575C1" w:rsidRPr="00242007" w:rsidRDefault="007575C1" w:rsidP="007575C1">
            <w:pPr>
              <w:spacing w:after="200" w:line="276" w:lineRule="auto"/>
              <w:rPr>
                <w:rFonts w:asciiTheme="majorHAnsi" w:hAnsiTheme="majorHAnsi" w:cstheme="majorHAnsi"/>
                <w:b/>
              </w:rPr>
            </w:pPr>
            <w:r w:rsidRPr="00242007">
              <w:rPr>
                <w:rFonts w:asciiTheme="majorHAnsi" w:hAnsiTheme="majorHAnsi" w:cstheme="majorHAnsi"/>
                <w:b/>
              </w:rPr>
              <w:t>Part fixe</w:t>
            </w:r>
          </w:p>
        </w:tc>
        <w:tc>
          <w:tcPr>
            <w:tcW w:w="2977" w:type="dxa"/>
          </w:tcPr>
          <w:p w:rsidR="007575C1" w:rsidRPr="00242007" w:rsidRDefault="007575C1" w:rsidP="007575C1">
            <w:pPr>
              <w:spacing w:after="200" w:line="276" w:lineRule="auto"/>
              <w:rPr>
                <w:rFonts w:asciiTheme="majorHAnsi" w:hAnsiTheme="majorHAnsi" w:cstheme="majorHAnsi"/>
              </w:rPr>
            </w:pPr>
            <w:r w:rsidRPr="00242007">
              <w:rPr>
                <w:rFonts w:asciiTheme="majorHAnsi" w:hAnsiTheme="majorHAnsi" w:cstheme="majorHAnsi"/>
              </w:rPr>
              <w:t>70 %</w:t>
            </w:r>
          </w:p>
        </w:tc>
        <w:tc>
          <w:tcPr>
            <w:tcW w:w="4961" w:type="dxa"/>
          </w:tcPr>
          <w:p w:rsidR="007575C1" w:rsidRPr="00242007" w:rsidRDefault="007575C1" w:rsidP="007575C1">
            <w:pPr>
              <w:spacing w:after="200" w:line="276" w:lineRule="auto"/>
              <w:rPr>
                <w:rFonts w:asciiTheme="majorHAnsi" w:hAnsiTheme="majorHAnsi" w:cstheme="majorHAnsi"/>
              </w:rPr>
            </w:pPr>
            <w:r w:rsidRPr="00242007">
              <w:rPr>
                <w:rFonts w:asciiTheme="majorHAnsi" w:hAnsiTheme="majorHAnsi" w:cstheme="majorHAnsi"/>
              </w:rPr>
              <w:t>Nombre d’ETP d’insertion réalisés à N-1 par la structure</w:t>
            </w:r>
          </w:p>
        </w:tc>
      </w:tr>
      <w:tr w:rsidR="007575C1" w:rsidRPr="00242007" w:rsidTr="009002A0">
        <w:tc>
          <w:tcPr>
            <w:tcW w:w="1872" w:type="dxa"/>
          </w:tcPr>
          <w:p w:rsidR="007575C1" w:rsidRPr="00242007" w:rsidRDefault="007575C1" w:rsidP="007575C1">
            <w:pPr>
              <w:spacing w:after="200" w:line="276" w:lineRule="auto"/>
              <w:rPr>
                <w:rFonts w:asciiTheme="majorHAnsi" w:hAnsiTheme="majorHAnsi" w:cstheme="majorHAnsi"/>
                <w:b/>
              </w:rPr>
            </w:pPr>
            <w:r w:rsidRPr="00242007">
              <w:rPr>
                <w:rFonts w:asciiTheme="majorHAnsi" w:hAnsiTheme="majorHAnsi" w:cstheme="majorHAnsi"/>
                <w:b/>
              </w:rPr>
              <w:t>Part variable</w:t>
            </w:r>
          </w:p>
        </w:tc>
        <w:tc>
          <w:tcPr>
            <w:tcW w:w="2977" w:type="dxa"/>
          </w:tcPr>
          <w:p w:rsidR="007575C1" w:rsidRPr="00242007" w:rsidRDefault="007575C1" w:rsidP="007575C1">
            <w:pPr>
              <w:spacing w:after="200" w:line="276" w:lineRule="auto"/>
              <w:rPr>
                <w:rFonts w:asciiTheme="majorHAnsi" w:hAnsiTheme="majorHAnsi" w:cstheme="majorHAnsi"/>
              </w:rPr>
            </w:pPr>
            <w:r w:rsidRPr="00242007">
              <w:rPr>
                <w:rFonts w:asciiTheme="majorHAnsi" w:hAnsiTheme="majorHAnsi" w:cstheme="majorHAnsi"/>
              </w:rPr>
              <w:t>30 %</w:t>
            </w:r>
          </w:p>
        </w:tc>
        <w:tc>
          <w:tcPr>
            <w:tcW w:w="4961" w:type="dxa"/>
          </w:tcPr>
          <w:p w:rsidR="007575C1" w:rsidRPr="0042001C" w:rsidRDefault="0054619C" w:rsidP="007575C1">
            <w:pPr>
              <w:spacing w:after="200" w:line="276" w:lineRule="auto"/>
              <w:rPr>
                <w:rFonts w:asciiTheme="majorHAnsi" w:hAnsiTheme="majorHAnsi" w:cstheme="majorHAnsi"/>
              </w:rPr>
            </w:pPr>
            <w:r>
              <w:rPr>
                <w:rFonts w:asciiTheme="majorHAnsi" w:hAnsiTheme="majorHAnsi" w:cstheme="majorHAnsi"/>
              </w:rPr>
              <w:t>Pourcentage</w:t>
            </w:r>
            <w:r w:rsidR="007575C1" w:rsidRPr="00242007">
              <w:rPr>
                <w:rFonts w:asciiTheme="majorHAnsi" w:hAnsiTheme="majorHAnsi" w:cstheme="majorHAnsi"/>
              </w:rPr>
              <w:t xml:space="preserve"> d’ETP </w:t>
            </w:r>
            <w:r w:rsidR="0042001C">
              <w:rPr>
                <w:rFonts w:asciiTheme="majorHAnsi" w:hAnsiTheme="majorHAnsi" w:cstheme="majorHAnsi"/>
              </w:rPr>
              <w:t>de bénéficiaires du R</w:t>
            </w:r>
            <w:r w:rsidR="007575C1" w:rsidRPr="00242007">
              <w:rPr>
                <w:rFonts w:asciiTheme="majorHAnsi" w:hAnsiTheme="majorHAnsi" w:cstheme="majorHAnsi"/>
              </w:rPr>
              <w:t xml:space="preserve">SA </w:t>
            </w:r>
            <w:r w:rsidR="0042001C">
              <w:rPr>
                <w:rFonts w:asciiTheme="majorHAnsi" w:hAnsiTheme="majorHAnsi" w:cstheme="majorHAnsi"/>
              </w:rPr>
              <w:t xml:space="preserve">(BRSA) </w:t>
            </w:r>
            <w:r w:rsidR="007575C1" w:rsidRPr="00242007">
              <w:rPr>
                <w:rFonts w:asciiTheme="majorHAnsi" w:hAnsiTheme="majorHAnsi" w:cstheme="majorHAnsi"/>
              </w:rPr>
              <w:t xml:space="preserve">parmi les ETP réalisés à N-1 par la structure </w:t>
            </w:r>
            <w:r>
              <w:rPr>
                <w:rFonts w:asciiTheme="majorHAnsi" w:hAnsiTheme="majorHAnsi" w:cstheme="majorHAnsi"/>
              </w:rPr>
              <w:t>avec une</w:t>
            </w:r>
            <w:r w:rsidR="007575C1" w:rsidRPr="00242007">
              <w:rPr>
                <w:rFonts w:asciiTheme="majorHAnsi" w:hAnsiTheme="majorHAnsi" w:cstheme="majorHAnsi"/>
              </w:rPr>
              <w:t xml:space="preserve"> ancienneté </w:t>
            </w:r>
            <w:r>
              <w:rPr>
                <w:rFonts w:asciiTheme="majorHAnsi" w:hAnsiTheme="majorHAnsi" w:cstheme="majorHAnsi"/>
              </w:rPr>
              <w:t>de + de 3 ans</w:t>
            </w:r>
          </w:p>
        </w:tc>
      </w:tr>
      <w:bookmarkEnd w:id="3"/>
    </w:tbl>
    <w:p w:rsidR="00ED55A5" w:rsidRPr="00242007" w:rsidRDefault="00ED55A5">
      <w:pPr>
        <w:rPr>
          <w:rFonts w:asciiTheme="majorHAnsi" w:hAnsiTheme="majorHAnsi" w:cstheme="majorHAnsi"/>
        </w:rPr>
      </w:pPr>
    </w:p>
    <w:p w:rsidR="002436FD" w:rsidRPr="00242007" w:rsidRDefault="007575C1" w:rsidP="002436FD">
      <w:pPr>
        <w:rPr>
          <w:rFonts w:asciiTheme="majorHAnsi" w:hAnsiTheme="majorHAnsi" w:cstheme="majorHAnsi"/>
          <w:b/>
        </w:rPr>
      </w:pPr>
      <w:r w:rsidRPr="00242007">
        <w:rPr>
          <w:rFonts w:ascii="Segoe UI Emoji" w:hAnsi="Segoe UI Emoji" w:cs="Segoe UI Emoji"/>
        </w:rPr>
        <w:t>⚙</w:t>
      </w:r>
      <w:r w:rsidRPr="00242007">
        <w:rPr>
          <w:rFonts w:asciiTheme="majorHAnsi" w:hAnsiTheme="majorHAnsi" w:cstheme="majorHAnsi"/>
        </w:rPr>
        <w:t>️</w:t>
      </w:r>
      <w:r w:rsidR="003E766D" w:rsidRPr="00242007">
        <w:rPr>
          <w:rFonts w:asciiTheme="majorHAnsi" w:hAnsiTheme="majorHAnsi" w:cstheme="majorHAnsi"/>
        </w:rPr>
        <w:t xml:space="preserve"> </w:t>
      </w:r>
      <w:r w:rsidR="003E766D" w:rsidRPr="00242007">
        <w:rPr>
          <w:rFonts w:asciiTheme="majorHAnsi" w:hAnsiTheme="majorHAnsi" w:cstheme="majorHAnsi"/>
          <w:b/>
          <w:sz w:val="24"/>
          <w:szCs w:val="24"/>
        </w:rPr>
        <w:t>Détail du calcul</w:t>
      </w:r>
    </w:p>
    <w:p w:rsidR="00ED55A5" w:rsidRPr="00242007" w:rsidRDefault="003E766D" w:rsidP="002436FD">
      <w:pPr>
        <w:pStyle w:val="Paragraphedeliste"/>
        <w:numPr>
          <w:ilvl w:val="0"/>
          <w:numId w:val="13"/>
        </w:numPr>
        <w:rPr>
          <w:rFonts w:asciiTheme="majorHAnsi" w:hAnsiTheme="majorHAnsi" w:cstheme="majorHAnsi"/>
          <w:b/>
        </w:rPr>
      </w:pPr>
      <w:r w:rsidRPr="00242007">
        <w:rPr>
          <w:rFonts w:asciiTheme="majorHAnsi" w:hAnsiTheme="majorHAnsi" w:cstheme="majorHAnsi"/>
          <w:b/>
        </w:rPr>
        <w:t>Part fixe (70 %)</w:t>
      </w:r>
    </w:p>
    <w:p w:rsidR="002D7060" w:rsidRDefault="00DC2366" w:rsidP="00805EF1">
      <w:pPr>
        <w:spacing w:after="0"/>
        <w:jc w:val="both"/>
        <w:rPr>
          <w:rFonts w:asciiTheme="majorHAnsi" w:hAnsiTheme="majorHAnsi" w:cstheme="majorHAnsi"/>
        </w:rPr>
      </w:pPr>
      <w:r>
        <w:rPr>
          <w:rFonts w:asciiTheme="majorHAnsi" w:hAnsiTheme="majorHAnsi" w:cstheme="majorHAnsi"/>
        </w:rPr>
        <w:t>La part fixe de la structure</w:t>
      </w:r>
      <w:r w:rsidR="003E766D" w:rsidRPr="00242007">
        <w:rPr>
          <w:rFonts w:asciiTheme="majorHAnsi" w:hAnsiTheme="majorHAnsi" w:cstheme="majorHAnsi"/>
        </w:rPr>
        <w:t xml:space="preserve"> </w:t>
      </w:r>
      <w:r w:rsidR="00855042">
        <w:rPr>
          <w:rFonts w:asciiTheme="majorHAnsi" w:hAnsiTheme="majorHAnsi" w:cstheme="majorHAnsi"/>
        </w:rPr>
        <w:t xml:space="preserve">(PFS) </w:t>
      </w:r>
      <w:r w:rsidR="003E766D" w:rsidRPr="00242007">
        <w:rPr>
          <w:rFonts w:asciiTheme="majorHAnsi" w:hAnsiTheme="majorHAnsi" w:cstheme="majorHAnsi"/>
        </w:rPr>
        <w:t xml:space="preserve">est calculée proportionnellement au nombre d’ETP d’insertion réalisés à </w:t>
      </w:r>
    </w:p>
    <w:p w:rsidR="002436FD" w:rsidRPr="00242007" w:rsidRDefault="003E766D" w:rsidP="00805EF1">
      <w:pPr>
        <w:spacing w:after="0"/>
        <w:jc w:val="both"/>
        <w:rPr>
          <w:rFonts w:asciiTheme="majorHAnsi" w:hAnsiTheme="majorHAnsi" w:cstheme="majorHAnsi"/>
        </w:rPr>
      </w:pPr>
      <w:r w:rsidRPr="00242007">
        <w:rPr>
          <w:rFonts w:asciiTheme="majorHAnsi" w:hAnsiTheme="majorHAnsi" w:cstheme="majorHAnsi"/>
        </w:rPr>
        <w:t>N-1 par la structure, c’est-à-dire par les salariés en parcours d’insertion employés dans le cadre des postes relevant de l’IAE.</w:t>
      </w:r>
      <w:r w:rsidR="002436FD" w:rsidRPr="00242007">
        <w:rPr>
          <w:rFonts w:asciiTheme="majorHAnsi" w:hAnsiTheme="majorHAnsi" w:cstheme="majorHAnsi"/>
        </w:rPr>
        <w:t xml:space="preserve"> </w:t>
      </w:r>
      <w:r w:rsidRPr="00242007">
        <w:rPr>
          <w:rFonts w:asciiTheme="majorHAnsi" w:hAnsiTheme="majorHAnsi" w:cstheme="majorHAnsi"/>
        </w:rPr>
        <w:t>Ces données doivent être issues du bilan d’activité validé par l’ASP ou la DDETS.</w:t>
      </w:r>
    </w:p>
    <w:p w:rsidR="00795FFE" w:rsidRPr="00242007" w:rsidRDefault="00795FFE" w:rsidP="00795FFE">
      <w:pPr>
        <w:spacing w:after="0" w:line="240" w:lineRule="auto"/>
        <w:jc w:val="both"/>
        <w:rPr>
          <w:rFonts w:asciiTheme="majorHAnsi" w:eastAsia="Times New Roman" w:hAnsiTheme="majorHAnsi" w:cstheme="majorHAnsi"/>
          <w:sz w:val="20"/>
          <w:szCs w:val="20"/>
          <w:lang w:eastAsia="fr-FR"/>
        </w:rPr>
      </w:pPr>
    </w:p>
    <w:p w:rsidR="00242007" w:rsidRDefault="00855042"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Pr>
          <w:rFonts w:asciiTheme="majorHAnsi" w:hAnsiTheme="majorHAnsi" w:cstheme="majorHAnsi"/>
          <w:b/>
        </w:rPr>
        <w:t>PFS</w:t>
      </w:r>
      <w:r w:rsidR="00795FFE" w:rsidRPr="00242007">
        <w:rPr>
          <w:rFonts w:asciiTheme="majorHAnsi" w:hAnsiTheme="majorHAnsi" w:cstheme="majorHAnsi"/>
        </w:rPr>
        <w:t xml:space="preserve"> = (ETP total de la structure / ETP total global) </w:t>
      </w:r>
    </w:p>
    <w:p w:rsidR="00795FFE" w:rsidRPr="00242007" w:rsidRDefault="00795FFE"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eastAsia="Times New Roman" w:hAnsiTheme="majorHAnsi" w:cstheme="majorHAnsi"/>
          <w:sz w:val="20"/>
          <w:szCs w:val="20"/>
          <w:lang w:eastAsia="fr-FR"/>
        </w:rPr>
      </w:pPr>
      <w:r w:rsidRPr="00242007">
        <w:rPr>
          <w:rFonts w:asciiTheme="majorHAnsi" w:hAnsiTheme="majorHAnsi" w:cstheme="majorHAnsi"/>
        </w:rPr>
        <w:t>× Montant total de la part fixe dédiée à l’ensemble des structures</w:t>
      </w:r>
    </w:p>
    <w:p w:rsidR="002436FD" w:rsidRPr="00242007" w:rsidRDefault="002436FD" w:rsidP="00805EF1">
      <w:pPr>
        <w:spacing w:after="0"/>
        <w:jc w:val="both"/>
        <w:rPr>
          <w:rFonts w:asciiTheme="majorHAnsi" w:hAnsiTheme="majorHAnsi" w:cstheme="majorHAnsi"/>
        </w:rPr>
      </w:pPr>
    </w:p>
    <w:p w:rsidR="001B2304" w:rsidRDefault="001B2304"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54619C" w:rsidRDefault="0054619C" w:rsidP="00805EF1">
      <w:pPr>
        <w:spacing w:after="0"/>
        <w:jc w:val="both"/>
        <w:rPr>
          <w:rFonts w:asciiTheme="majorHAnsi" w:hAnsiTheme="majorHAnsi" w:cstheme="majorHAnsi"/>
        </w:rPr>
      </w:pPr>
    </w:p>
    <w:p w:rsidR="00ED55A5" w:rsidRDefault="003E766D" w:rsidP="00805EF1">
      <w:pPr>
        <w:pStyle w:val="Paragraphedeliste"/>
        <w:numPr>
          <w:ilvl w:val="0"/>
          <w:numId w:val="13"/>
        </w:numPr>
        <w:spacing w:after="0"/>
        <w:jc w:val="both"/>
        <w:rPr>
          <w:rFonts w:asciiTheme="majorHAnsi" w:hAnsiTheme="majorHAnsi" w:cstheme="majorHAnsi"/>
          <w:b/>
        </w:rPr>
      </w:pPr>
      <w:r w:rsidRPr="00242007">
        <w:rPr>
          <w:rFonts w:asciiTheme="majorHAnsi" w:hAnsiTheme="majorHAnsi" w:cstheme="majorHAnsi"/>
          <w:b/>
        </w:rPr>
        <w:t>Part variable (30 %)</w:t>
      </w:r>
    </w:p>
    <w:p w:rsidR="001B2304" w:rsidRPr="00242007" w:rsidRDefault="001B2304" w:rsidP="001B2304">
      <w:pPr>
        <w:pStyle w:val="Paragraphedeliste"/>
        <w:spacing w:after="0"/>
        <w:jc w:val="both"/>
        <w:rPr>
          <w:rFonts w:asciiTheme="majorHAnsi" w:hAnsiTheme="majorHAnsi" w:cstheme="majorHAnsi"/>
          <w:b/>
        </w:rPr>
      </w:pPr>
    </w:p>
    <w:p w:rsidR="002436FD" w:rsidRPr="00242007" w:rsidRDefault="003E766D" w:rsidP="00242007">
      <w:pPr>
        <w:spacing w:after="0"/>
        <w:jc w:val="both"/>
        <w:rPr>
          <w:rFonts w:asciiTheme="majorHAnsi" w:hAnsiTheme="majorHAnsi" w:cstheme="majorHAnsi"/>
        </w:rPr>
      </w:pPr>
      <w:r w:rsidRPr="00242007">
        <w:rPr>
          <w:rFonts w:asciiTheme="majorHAnsi" w:hAnsiTheme="majorHAnsi" w:cstheme="majorHAnsi"/>
        </w:rPr>
        <w:t xml:space="preserve">Elle valorise l’engagement envers les publics </w:t>
      </w:r>
      <w:r w:rsidR="002D7060">
        <w:rPr>
          <w:rFonts w:asciiTheme="majorHAnsi" w:hAnsiTheme="majorHAnsi" w:cstheme="majorHAnsi"/>
        </w:rPr>
        <w:t>b</w:t>
      </w:r>
      <w:r w:rsidR="002436FD" w:rsidRPr="00242007">
        <w:rPr>
          <w:rFonts w:asciiTheme="majorHAnsi" w:hAnsiTheme="majorHAnsi" w:cstheme="majorHAnsi"/>
        </w:rPr>
        <w:t>énéficiaires du RSA</w:t>
      </w:r>
      <w:r w:rsidRPr="00242007">
        <w:rPr>
          <w:rFonts w:asciiTheme="majorHAnsi" w:hAnsiTheme="majorHAnsi" w:cstheme="majorHAnsi"/>
        </w:rPr>
        <w:t xml:space="preserve"> et le recrutement de publics ancrés dans le dispositif du RSA.</w:t>
      </w:r>
    </w:p>
    <w:p w:rsidR="00242007" w:rsidRPr="00242007" w:rsidRDefault="00242007" w:rsidP="00242007">
      <w:pPr>
        <w:spacing w:after="0"/>
        <w:jc w:val="both"/>
        <w:rPr>
          <w:rFonts w:asciiTheme="majorHAnsi" w:hAnsiTheme="majorHAnsi" w:cstheme="majorHAnsi"/>
        </w:rPr>
      </w:pPr>
    </w:p>
    <w:p w:rsidR="00ED55A5" w:rsidRPr="00242007" w:rsidRDefault="00242007" w:rsidP="00242007">
      <w:pPr>
        <w:pStyle w:val="Paragraphedeliste"/>
        <w:numPr>
          <w:ilvl w:val="0"/>
          <w:numId w:val="12"/>
        </w:numPr>
        <w:spacing w:after="0"/>
        <w:jc w:val="both"/>
        <w:rPr>
          <w:rFonts w:asciiTheme="majorHAnsi" w:hAnsiTheme="majorHAnsi" w:cstheme="majorHAnsi"/>
          <w:b/>
        </w:rPr>
      </w:pPr>
      <w:r w:rsidRPr="00242007">
        <w:rPr>
          <w:rFonts w:asciiTheme="majorHAnsi" w:hAnsiTheme="majorHAnsi" w:cstheme="majorHAnsi"/>
          <w:b/>
        </w:rPr>
        <w:t>Taux</w:t>
      </w:r>
      <w:r w:rsidR="003E766D" w:rsidRPr="00242007">
        <w:rPr>
          <w:rFonts w:asciiTheme="majorHAnsi" w:hAnsiTheme="majorHAnsi" w:cstheme="majorHAnsi"/>
          <w:b/>
        </w:rPr>
        <w:t xml:space="preserve"> d’ETP </w:t>
      </w:r>
      <w:r w:rsidR="002436FD" w:rsidRPr="00242007">
        <w:rPr>
          <w:rFonts w:asciiTheme="majorHAnsi" w:hAnsiTheme="majorHAnsi" w:cstheme="majorHAnsi"/>
          <w:b/>
        </w:rPr>
        <w:t xml:space="preserve">de bénéficiaires du </w:t>
      </w:r>
      <w:r w:rsidR="003E766D" w:rsidRPr="00242007">
        <w:rPr>
          <w:rFonts w:asciiTheme="majorHAnsi" w:hAnsiTheme="majorHAnsi" w:cstheme="majorHAnsi"/>
          <w:b/>
        </w:rPr>
        <w:t>RSA</w:t>
      </w:r>
      <w:r w:rsidR="002436FD" w:rsidRPr="00242007">
        <w:rPr>
          <w:rFonts w:asciiTheme="majorHAnsi" w:hAnsiTheme="majorHAnsi" w:cstheme="majorHAnsi"/>
          <w:b/>
        </w:rPr>
        <w:t xml:space="preserve"> recrutés dans la structure</w:t>
      </w:r>
      <w:r w:rsidR="001B6F39" w:rsidRPr="00242007">
        <w:rPr>
          <w:rFonts w:asciiTheme="majorHAnsi" w:hAnsiTheme="majorHAnsi" w:cstheme="majorHAnsi"/>
          <w:b/>
        </w:rPr>
        <w:t xml:space="preserve"> </w:t>
      </w:r>
    </w:p>
    <w:p w:rsidR="00805EF1" w:rsidRPr="00242007" w:rsidRDefault="00805EF1" w:rsidP="00242007">
      <w:pPr>
        <w:pStyle w:val="Paragraphedeliste"/>
        <w:spacing w:after="0"/>
        <w:ind w:left="1500"/>
        <w:jc w:val="both"/>
        <w:rPr>
          <w:rFonts w:asciiTheme="majorHAnsi" w:hAnsiTheme="majorHAnsi" w:cstheme="majorHAnsi"/>
        </w:rPr>
      </w:pPr>
    </w:p>
    <w:p w:rsidR="00ED55A5" w:rsidRDefault="003E766D" w:rsidP="00242007">
      <w:pPr>
        <w:spacing w:after="0"/>
        <w:jc w:val="both"/>
        <w:rPr>
          <w:rFonts w:asciiTheme="majorHAnsi" w:hAnsiTheme="majorHAnsi" w:cstheme="majorHAnsi"/>
        </w:rPr>
      </w:pPr>
      <w:r w:rsidRPr="00242007">
        <w:rPr>
          <w:rFonts w:asciiTheme="majorHAnsi" w:hAnsiTheme="majorHAnsi" w:cstheme="majorHAnsi"/>
        </w:rPr>
        <w:t xml:space="preserve">Ce pourcentage est calculé comme </w:t>
      </w:r>
      <w:r w:rsidR="00D06680" w:rsidRPr="00242007">
        <w:rPr>
          <w:rFonts w:asciiTheme="majorHAnsi" w:hAnsiTheme="majorHAnsi" w:cstheme="majorHAnsi"/>
        </w:rPr>
        <w:t>suit</w:t>
      </w:r>
      <w:r w:rsidR="00242007">
        <w:rPr>
          <w:rFonts w:asciiTheme="majorHAnsi" w:hAnsiTheme="majorHAnsi" w:cstheme="majorHAnsi"/>
        </w:rPr>
        <w:t xml:space="preserve"> </w:t>
      </w:r>
      <w:r w:rsidR="00D06680" w:rsidRPr="00242007">
        <w:rPr>
          <w:rFonts w:asciiTheme="majorHAnsi" w:hAnsiTheme="majorHAnsi" w:cstheme="majorHAnsi"/>
        </w:rPr>
        <w:t>:</w:t>
      </w:r>
    </w:p>
    <w:p w:rsidR="00242007" w:rsidRPr="00242007" w:rsidRDefault="00242007" w:rsidP="00242007">
      <w:pPr>
        <w:spacing w:after="0"/>
        <w:jc w:val="both"/>
        <w:rPr>
          <w:rFonts w:asciiTheme="majorHAnsi" w:hAnsiTheme="majorHAnsi" w:cstheme="majorHAnsi"/>
        </w:rPr>
      </w:pPr>
    </w:p>
    <w:p w:rsidR="00242007" w:rsidRDefault="003E766D" w:rsidP="00242007">
      <w:pPr>
        <w:pBdr>
          <w:top w:val="single" w:sz="4" w:space="1" w:color="auto"/>
          <w:left w:val="single" w:sz="4" w:space="4" w:color="auto"/>
          <w:bottom w:val="single" w:sz="4" w:space="1" w:color="auto"/>
          <w:right w:val="single" w:sz="4" w:space="4" w:color="auto"/>
        </w:pBdr>
        <w:spacing w:after="0"/>
        <w:jc w:val="center"/>
        <w:rPr>
          <w:rFonts w:asciiTheme="majorHAnsi" w:hAnsiTheme="majorHAnsi" w:cstheme="majorHAnsi"/>
        </w:rPr>
      </w:pPr>
      <w:r w:rsidRPr="00242007">
        <w:rPr>
          <w:rFonts w:asciiTheme="majorHAnsi" w:hAnsiTheme="majorHAnsi" w:cstheme="majorHAnsi"/>
          <w:b/>
        </w:rPr>
        <w:t>% d’ETP BRSA</w:t>
      </w:r>
      <w:r w:rsidRPr="00242007">
        <w:rPr>
          <w:rFonts w:asciiTheme="majorHAnsi" w:hAnsiTheme="majorHAnsi" w:cstheme="majorHAnsi"/>
        </w:rPr>
        <w:t xml:space="preserve"> = (Nombre d’ETP BRSA recrutés à N-1</w:t>
      </w:r>
      <w:r w:rsidR="00242007">
        <w:rPr>
          <w:rFonts w:asciiTheme="majorHAnsi" w:hAnsiTheme="majorHAnsi" w:cstheme="majorHAnsi"/>
        </w:rPr>
        <w:t>)</w:t>
      </w:r>
    </w:p>
    <w:p w:rsidR="00ED55A5" w:rsidRPr="00242007" w:rsidRDefault="003E766D" w:rsidP="00242007">
      <w:pPr>
        <w:pBdr>
          <w:top w:val="single" w:sz="4" w:space="1" w:color="auto"/>
          <w:left w:val="single" w:sz="4" w:space="4" w:color="auto"/>
          <w:bottom w:val="single" w:sz="4" w:space="1" w:color="auto"/>
          <w:right w:val="single" w:sz="4" w:space="4" w:color="auto"/>
        </w:pBdr>
        <w:spacing w:after="0"/>
        <w:jc w:val="center"/>
        <w:rPr>
          <w:rFonts w:asciiTheme="majorHAnsi" w:hAnsiTheme="majorHAnsi" w:cstheme="majorHAnsi"/>
        </w:rPr>
      </w:pPr>
      <w:bookmarkStart w:id="4" w:name="_Hlk207711375"/>
      <w:r w:rsidRPr="00242007">
        <w:rPr>
          <w:rFonts w:asciiTheme="majorHAnsi" w:hAnsiTheme="majorHAnsi" w:cstheme="majorHAnsi"/>
        </w:rPr>
        <w:t>÷</w:t>
      </w:r>
      <w:bookmarkEnd w:id="4"/>
      <w:r w:rsidRPr="00242007">
        <w:rPr>
          <w:rFonts w:asciiTheme="majorHAnsi" w:hAnsiTheme="majorHAnsi" w:cstheme="majorHAnsi"/>
        </w:rPr>
        <w:t xml:space="preserve"> </w:t>
      </w:r>
      <w:r w:rsidR="00242007">
        <w:rPr>
          <w:rFonts w:asciiTheme="majorHAnsi" w:hAnsiTheme="majorHAnsi" w:cstheme="majorHAnsi"/>
        </w:rPr>
        <w:t>(</w:t>
      </w:r>
      <w:r w:rsidRPr="00242007">
        <w:rPr>
          <w:rFonts w:asciiTheme="majorHAnsi" w:hAnsiTheme="majorHAnsi" w:cstheme="majorHAnsi"/>
        </w:rPr>
        <w:t>Nombre total d’ETP d’insertion réalisés à N-1 par la structure) × 100</w:t>
      </w:r>
    </w:p>
    <w:p w:rsidR="00805EF1" w:rsidRPr="00242007" w:rsidRDefault="00805EF1" w:rsidP="00242007">
      <w:pPr>
        <w:spacing w:after="0"/>
        <w:jc w:val="both"/>
        <w:rPr>
          <w:rFonts w:asciiTheme="majorHAnsi" w:hAnsiTheme="majorHAnsi" w:cstheme="majorHAnsi"/>
        </w:rPr>
      </w:pPr>
    </w:p>
    <w:p w:rsidR="002436FD" w:rsidRPr="00242007" w:rsidRDefault="003E766D" w:rsidP="00242007">
      <w:pPr>
        <w:spacing w:after="0"/>
        <w:jc w:val="both"/>
        <w:rPr>
          <w:rFonts w:asciiTheme="majorHAnsi" w:hAnsiTheme="majorHAnsi" w:cstheme="majorHAnsi"/>
        </w:rPr>
      </w:pPr>
      <w:r w:rsidRPr="00242007">
        <w:rPr>
          <w:rFonts w:asciiTheme="majorHAnsi" w:hAnsiTheme="majorHAnsi" w:cstheme="majorHAnsi"/>
        </w:rPr>
        <w:t>Ce ratio reflète la part des postes d’insertion occupés par des bénéficiaires du RSA parmi l’ensemble des ETP réalisés par la structure</w:t>
      </w:r>
    </w:p>
    <w:p w:rsidR="00805EF1" w:rsidRPr="00242007" w:rsidRDefault="00805EF1" w:rsidP="00242007">
      <w:pPr>
        <w:spacing w:after="0"/>
        <w:jc w:val="both"/>
        <w:rPr>
          <w:rFonts w:asciiTheme="majorHAnsi" w:hAnsiTheme="majorHAnsi" w:cstheme="majorHAnsi"/>
        </w:rPr>
      </w:pPr>
    </w:p>
    <w:p w:rsidR="00ED55A5" w:rsidRPr="00242007" w:rsidRDefault="002436FD" w:rsidP="00242007">
      <w:pPr>
        <w:pStyle w:val="Paragraphedeliste"/>
        <w:numPr>
          <w:ilvl w:val="0"/>
          <w:numId w:val="12"/>
        </w:numPr>
        <w:spacing w:after="0"/>
        <w:jc w:val="both"/>
        <w:rPr>
          <w:rFonts w:asciiTheme="majorHAnsi" w:hAnsiTheme="majorHAnsi" w:cstheme="majorHAnsi"/>
          <w:b/>
        </w:rPr>
      </w:pPr>
      <w:r w:rsidRPr="00242007">
        <w:rPr>
          <w:rFonts w:asciiTheme="majorHAnsi" w:hAnsiTheme="majorHAnsi" w:cstheme="majorHAnsi"/>
          <w:b/>
        </w:rPr>
        <w:t>L’a</w:t>
      </w:r>
      <w:r w:rsidR="003E766D" w:rsidRPr="00242007">
        <w:rPr>
          <w:rFonts w:asciiTheme="majorHAnsi" w:hAnsiTheme="majorHAnsi" w:cstheme="majorHAnsi"/>
          <w:b/>
        </w:rPr>
        <w:t xml:space="preserve">ncienneté des </w:t>
      </w:r>
      <w:r w:rsidRPr="00242007">
        <w:rPr>
          <w:rFonts w:asciiTheme="majorHAnsi" w:hAnsiTheme="majorHAnsi" w:cstheme="majorHAnsi"/>
          <w:b/>
        </w:rPr>
        <w:t xml:space="preserve">bénéficiaires du </w:t>
      </w:r>
      <w:r w:rsidR="003E766D" w:rsidRPr="00242007">
        <w:rPr>
          <w:rFonts w:asciiTheme="majorHAnsi" w:hAnsiTheme="majorHAnsi" w:cstheme="majorHAnsi"/>
          <w:b/>
        </w:rPr>
        <w:t xml:space="preserve">RSA dans le dispositif </w:t>
      </w:r>
    </w:p>
    <w:p w:rsidR="001B6F39" w:rsidRPr="00242007" w:rsidRDefault="001B6F39" w:rsidP="00242007">
      <w:pPr>
        <w:spacing w:before="100" w:beforeAutospacing="1" w:after="100" w:afterAutospacing="1" w:line="240" w:lineRule="auto"/>
        <w:jc w:val="both"/>
        <w:rPr>
          <w:rFonts w:asciiTheme="majorHAnsi" w:hAnsiTheme="majorHAnsi" w:cstheme="majorHAnsi"/>
        </w:rPr>
      </w:pPr>
      <w:r w:rsidRPr="00242007">
        <w:rPr>
          <w:rFonts w:asciiTheme="majorHAnsi" w:hAnsiTheme="majorHAnsi" w:cstheme="majorHAnsi"/>
        </w:rPr>
        <w:t>La part variable est également pondérée en fonction de l’ancienneté des bénéficiaires du RSA dans le dispositif RSA au moment de leur recrutement par la structure. Ce critère permet de valoriser les SIAE qui mobilisent des publics durablement éloignés de l’emploi.</w:t>
      </w:r>
    </w:p>
    <w:p w:rsidR="001B6F39" w:rsidRPr="00242007" w:rsidRDefault="001B6F39" w:rsidP="00242007">
      <w:pPr>
        <w:pStyle w:val="Paragraphedeliste"/>
        <w:numPr>
          <w:ilvl w:val="0"/>
          <w:numId w:val="19"/>
        </w:numPr>
        <w:spacing w:after="0" w:line="240" w:lineRule="auto"/>
        <w:jc w:val="both"/>
        <w:rPr>
          <w:rFonts w:asciiTheme="majorHAnsi" w:hAnsiTheme="majorHAnsi" w:cstheme="majorHAnsi"/>
        </w:rPr>
      </w:pPr>
      <w:r w:rsidRPr="00242007">
        <w:rPr>
          <w:rFonts w:asciiTheme="majorHAnsi" w:hAnsiTheme="majorHAnsi" w:cstheme="majorHAnsi"/>
        </w:rPr>
        <w:t>Ce pourcentage est calculé comme suit :</w:t>
      </w:r>
    </w:p>
    <w:p w:rsidR="00242007" w:rsidRPr="00242007" w:rsidRDefault="00242007" w:rsidP="00242007">
      <w:pPr>
        <w:spacing w:after="0" w:line="240" w:lineRule="auto"/>
        <w:jc w:val="both"/>
        <w:rPr>
          <w:rFonts w:asciiTheme="majorHAnsi" w:hAnsiTheme="majorHAnsi" w:cstheme="majorHAnsi"/>
        </w:rPr>
      </w:pPr>
    </w:p>
    <w:p w:rsidR="00242007" w:rsidRDefault="00242007"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b/>
        </w:rPr>
        <w:t>% BRSA &gt; 3</w:t>
      </w:r>
      <w:r w:rsidR="002D7060">
        <w:rPr>
          <w:rFonts w:asciiTheme="majorHAnsi" w:hAnsiTheme="majorHAnsi" w:cstheme="majorHAnsi"/>
          <w:b/>
        </w:rPr>
        <w:t xml:space="preserve"> </w:t>
      </w:r>
      <w:r w:rsidRPr="00242007">
        <w:rPr>
          <w:rFonts w:asciiTheme="majorHAnsi" w:hAnsiTheme="majorHAnsi" w:cstheme="majorHAnsi"/>
          <w:b/>
        </w:rPr>
        <w:t>ans</w:t>
      </w:r>
      <w:r>
        <w:rPr>
          <w:rFonts w:asciiTheme="majorHAnsi" w:hAnsiTheme="majorHAnsi" w:cstheme="majorHAnsi"/>
        </w:rPr>
        <w:t xml:space="preserve"> = </w:t>
      </w:r>
      <w:r w:rsidR="001B6F39" w:rsidRPr="00242007">
        <w:rPr>
          <w:rFonts w:asciiTheme="majorHAnsi" w:hAnsiTheme="majorHAnsi" w:cstheme="majorHAnsi"/>
        </w:rPr>
        <w:t>(</w:t>
      </w:r>
      <w:r w:rsidR="009054CA">
        <w:rPr>
          <w:rFonts w:asciiTheme="majorHAnsi" w:hAnsiTheme="majorHAnsi" w:cstheme="majorHAnsi"/>
        </w:rPr>
        <w:t xml:space="preserve">Nombre </w:t>
      </w:r>
      <w:r w:rsidR="001B6F39" w:rsidRPr="00242007">
        <w:rPr>
          <w:rFonts w:asciiTheme="majorHAnsi" w:hAnsiTheme="majorHAnsi" w:cstheme="majorHAnsi"/>
        </w:rPr>
        <w:t>d’ETP BRSA inscrits depuis plus de 3 ans de la structure</w:t>
      </w:r>
      <w:r>
        <w:rPr>
          <w:rFonts w:asciiTheme="majorHAnsi" w:hAnsiTheme="majorHAnsi" w:cstheme="majorHAnsi"/>
        </w:rPr>
        <w:t xml:space="preserve"> </w:t>
      </w:r>
      <w:r w:rsidR="001B6F39" w:rsidRPr="00242007">
        <w:rPr>
          <w:rFonts w:asciiTheme="majorHAnsi" w:hAnsiTheme="majorHAnsi" w:cstheme="majorHAnsi"/>
        </w:rPr>
        <w:t>à N-1</w:t>
      </w:r>
      <w:r>
        <w:rPr>
          <w:rFonts w:asciiTheme="majorHAnsi" w:hAnsiTheme="majorHAnsi" w:cstheme="majorHAnsi"/>
        </w:rPr>
        <w:t>)</w:t>
      </w:r>
    </w:p>
    <w:p w:rsidR="001B6F39" w:rsidRPr="00242007" w:rsidRDefault="00242007"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rPr>
        <w:t>÷</w:t>
      </w:r>
      <w:r w:rsidR="001B6F39" w:rsidRPr="00242007">
        <w:rPr>
          <w:rFonts w:asciiTheme="majorHAnsi" w:hAnsiTheme="majorHAnsi" w:cstheme="majorHAnsi"/>
        </w:rPr>
        <w:t xml:space="preserve"> </w:t>
      </w:r>
      <w:r>
        <w:rPr>
          <w:rFonts w:asciiTheme="majorHAnsi" w:hAnsiTheme="majorHAnsi" w:cstheme="majorHAnsi"/>
        </w:rPr>
        <w:t>(Nombre</w:t>
      </w:r>
      <w:r w:rsidR="001B6F39" w:rsidRPr="00242007">
        <w:rPr>
          <w:rFonts w:asciiTheme="majorHAnsi" w:hAnsiTheme="majorHAnsi" w:cstheme="majorHAnsi"/>
        </w:rPr>
        <w:t xml:space="preserve"> d’ETP BRSA de la structure</w:t>
      </w:r>
      <w:r>
        <w:rPr>
          <w:rFonts w:asciiTheme="majorHAnsi" w:hAnsiTheme="majorHAnsi" w:cstheme="majorHAnsi"/>
        </w:rPr>
        <w:t xml:space="preserve"> </w:t>
      </w:r>
      <w:r w:rsidR="001B6F39" w:rsidRPr="00242007">
        <w:rPr>
          <w:rFonts w:asciiTheme="majorHAnsi" w:hAnsiTheme="majorHAnsi" w:cstheme="majorHAnsi"/>
        </w:rPr>
        <w:t>à N-1) X 100</w:t>
      </w:r>
    </w:p>
    <w:p w:rsidR="009002A0" w:rsidRPr="00242007" w:rsidRDefault="009002A0" w:rsidP="00242007">
      <w:pPr>
        <w:spacing w:after="0" w:line="240" w:lineRule="auto"/>
        <w:jc w:val="both"/>
        <w:rPr>
          <w:rFonts w:asciiTheme="majorHAnsi" w:hAnsiTheme="majorHAnsi" w:cstheme="majorHAnsi"/>
        </w:rPr>
      </w:pPr>
    </w:p>
    <w:p w:rsidR="009002A0" w:rsidRPr="00242007" w:rsidRDefault="001B6F39" w:rsidP="00242007">
      <w:pPr>
        <w:pStyle w:val="Paragraphedeliste"/>
        <w:numPr>
          <w:ilvl w:val="0"/>
          <w:numId w:val="19"/>
        </w:numPr>
        <w:spacing w:after="0" w:line="240" w:lineRule="auto"/>
        <w:jc w:val="both"/>
        <w:rPr>
          <w:rFonts w:asciiTheme="majorHAnsi" w:hAnsiTheme="majorHAnsi" w:cstheme="majorHAnsi"/>
        </w:rPr>
      </w:pPr>
      <w:r w:rsidRPr="00242007">
        <w:rPr>
          <w:rFonts w:asciiTheme="majorHAnsi" w:hAnsiTheme="majorHAnsi" w:cstheme="majorHAnsi"/>
        </w:rPr>
        <w:t>Un taux de performance est calculé pour chaque chantier comme la moyenne simple des deux critères</w:t>
      </w:r>
      <w:r w:rsidR="00242007" w:rsidRPr="00242007">
        <w:rPr>
          <w:rFonts w:asciiTheme="majorHAnsi" w:hAnsiTheme="majorHAnsi" w:cstheme="majorHAnsi"/>
        </w:rPr>
        <w:t> :</w:t>
      </w:r>
    </w:p>
    <w:p w:rsidR="00242007" w:rsidRDefault="00242007" w:rsidP="00242007">
      <w:pPr>
        <w:spacing w:after="0" w:line="240" w:lineRule="auto"/>
        <w:jc w:val="both"/>
        <w:rPr>
          <w:rFonts w:asciiTheme="majorHAnsi" w:hAnsiTheme="majorHAnsi" w:cstheme="majorHAnsi"/>
        </w:rPr>
      </w:pPr>
    </w:p>
    <w:p w:rsidR="00242007" w:rsidRDefault="001B6F39"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b/>
        </w:rPr>
        <w:t>Taux de performance</w:t>
      </w:r>
      <w:r w:rsidRPr="00242007">
        <w:rPr>
          <w:rFonts w:asciiTheme="majorHAnsi" w:hAnsiTheme="majorHAnsi" w:cstheme="majorHAnsi"/>
        </w:rPr>
        <w:t xml:space="preserve"> = (taux de BRSA + taux d’ancienneté)</w:t>
      </w:r>
    </w:p>
    <w:p w:rsidR="001B6F39" w:rsidRPr="00242007" w:rsidRDefault="00242007"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rPr>
        <w:t>÷</w:t>
      </w:r>
      <w:r w:rsidR="001B6F39" w:rsidRPr="00242007">
        <w:rPr>
          <w:rFonts w:asciiTheme="majorHAnsi" w:hAnsiTheme="majorHAnsi" w:cstheme="majorHAnsi"/>
        </w:rPr>
        <w:t xml:space="preserve"> 2</w:t>
      </w:r>
    </w:p>
    <w:p w:rsidR="009002A0" w:rsidRPr="00242007" w:rsidRDefault="009002A0" w:rsidP="00242007">
      <w:pPr>
        <w:spacing w:after="0" w:line="240" w:lineRule="auto"/>
        <w:jc w:val="both"/>
        <w:rPr>
          <w:rFonts w:asciiTheme="majorHAnsi" w:hAnsiTheme="majorHAnsi" w:cstheme="majorHAnsi"/>
        </w:rPr>
      </w:pPr>
    </w:p>
    <w:p w:rsidR="001B6F39" w:rsidRPr="00242007" w:rsidRDefault="001B6F39" w:rsidP="00242007">
      <w:pPr>
        <w:pStyle w:val="Paragraphedeliste"/>
        <w:numPr>
          <w:ilvl w:val="0"/>
          <w:numId w:val="19"/>
        </w:numPr>
        <w:spacing w:after="0" w:line="240" w:lineRule="auto"/>
        <w:jc w:val="both"/>
        <w:rPr>
          <w:rFonts w:asciiTheme="majorHAnsi" w:hAnsiTheme="majorHAnsi" w:cstheme="majorHAnsi"/>
        </w:rPr>
      </w:pPr>
      <w:r w:rsidRPr="00242007">
        <w:rPr>
          <w:rFonts w:asciiTheme="majorHAnsi" w:hAnsiTheme="majorHAnsi" w:cstheme="majorHAnsi"/>
        </w:rPr>
        <w:t xml:space="preserve">Ce taux est ensuite multiplié par le nombre d’ETP totaux de la structure pour obtenir un score pondéré : </w:t>
      </w:r>
    </w:p>
    <w:p w:rsidR="00242007" w:rsidRDefault="00242007" w:rsidP="00242007">
      <w:pPr>
        <w:spacing w:after="0" w:line="240" w:lineRule="auto"/>
        <w:jc w:val="both"/>
        <w:rPr>
          <w:rFonts w:asciiTheme="majorHAnsi" w:hAnsiTheme="majorHAnsi" w:cstheme="majorHAnsi"/>
        </w:rPr>
      </w:pPr>
    </w:p>
    <w:p w:rsidR="001B6F39" w:rsidRPr="00242007" w:rsidRDefault="001B6F39"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b/>
        </w:rPr>
        <w:t>Score chantier</w:t>
      </w:r>
      <w:r w:rsidR="00242007">
        <w:rPr>
          <w:rFonts w:asciiTheme="majorHAnsi" w:hAnsiTheme="majorHAnsi" w:cstheme="majorHAnsi"/>
          <w:b/>
        </w:rPr>
        <w:t xml:space="preserve"> </w:t>
      </w:r>
      <w:r w:rsidRPr="00242007">
        <w:rPr>
          <w:rFonts w:asciiTheme="majorHAnsi" w:hAnsiTheme="majorHAnsi" w:cstheme="majorHAnsi"/>
        </w:rPr>
        <w:t>= taux de performance x ETP totaux de la structure</w:t>
      </w:r>
    </w:p>
    <w:p w:rsidR="009002A0" w:rsidRPr="00242007" w:rsidRDefault="009002A0" w:rsidP="00242007">
      <w:pPr>
        <w:spacing w:after="0" w:line="240" w:lineRule="auto"/>
        <w:jc w:val="both"/>
        <w:rPr>
          <w:rFonts w:asciiTheme="majorHAnsi" w:hAnsiTheme="majorHAnsi" w:cstheme="majorHAnsi"/>
        </w:rPr>
      </w:pPr>
    </w:p>
    <w:p w:rsidR="001B6F39" w:rsidRPr="00242007" w:rsidRDefault="001B6F39" w:rsidP="00242007">
      <w:pPr>
        <w:pStyle w:val="Paragraphedeliste"/>
        <w:numPr>
          <w:ilvl w:val="0"/>
          <w:numId w:val="19"/>
        </w:numPr>
        <w:spacing w:after="0" w:line="240" w:lineRule="auto"/>
        <w:jc w:val="both"/>
        <w:rPr>
          <w:rFonts w:asciiTheme="majorHAnsi" w:hAnsiTheme="majorHAnsi" w:cstheme="majorHAnsi"/>
        </w:rPr>
      </w:pPr>
      <w:r w:rsidRPr="00242007">
        <w:rPr>
          <w:rFonts w:asciiTheme="majorHAnsi" w:hAnsiTheme="majorHAnsi" w:cstheme="majorHAnsi"/>
        </w:rPr>
        <w:t xml:space="preserve">La part variable est répartie proportionnellement à ces scores : </w:t>
      </w:r>
    </w:p>
    <w:p w:rsidR="00242007" w:rsidRDefault="00242007" w:rsidP="00242007">
      <w:pPr>
        <w:spacing w:after="0" w:line="240" w:lineRule="auto"/>
        <w:jc w:val="both"/>
        <w:rPr>
          <w:rFonts w:asciiTheme="majorHAnsi" w:hAnsiTheme="majorHAnsi" w:cstheme="majorHAnsi"/>
        </w:rPr>
      </w:pPr>
    </w:p>
    <w:p w:rsidR="00242007" w:rsidRDefault="001B6F39"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r w:rsidRPr="00242007">
        <w:rPr>
          <w:rFonts w:asciiTheme="majorHAnsi" w:hAnsiTheme="majorHAnsi" w:cstheme="majorHAnsi"/>
          <w:b/>
        </w:rPr>
        <w:t>Part variable chantier</w:t>
      </w:r>
      <w:r w:rsidRPr="00242007">
        <w:rPr>
          <w:rFonts w:asciiTheme="majorHAnsi" w:hAnsiTheme="majorHAnsi" w:cstheme="majorHAnsi"/>
        </w:rPr>
        <w:t xml:space="preserve"> = (score chantier/ total des scores)</w:t>
      </w:r>
    </w:p>
    <w:p w:rsidR="001B6F39" w:rsidRPr="00242007" w:rsidRDefault="001B6F39" w:rsidP="00242007">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rPr>
      </w:pPr>
      <w:proofErr w:type="gramStart"/>
      <w:r w:rsidRPr="00242007">
        <w:rPr>
          <w:rFonts w:asciiTheme="majorHAnsi" w:hAnsiTheme="majorHAnsi" w:cstheme="majorHAnsi"/>
        </w:rPr>
        <w:t>x</w:t>
      </w:r>
      <w:proofErr w:type="gramEnd"/>
      <w:r w:rsidRPr="00242007">
        <w:rPr>
          <w:rFonts w:asciiTheme="majorHAnsi" w:hAnsiTheme="majorHAnsi" w:cstheme="majorHAnsi"/>
        </w:rPr>
        <w:t xml:space="preserve"> montant global de l’enveloppe dédiée à la part variable</w:t>
      </w:r>
    </w:p>
    <w:p w:rsidR="001B6F39" w:rsidRPr="00242007" w:rsidRDefault="001B6F39" w:rsidP="00242007">
      <w:pPr>
        <w:spacing w:before="100" w:beforeAutospacing="1" w:after="100" w:afterAutospacing="1" w:line="240" w:lineRule="auto"/>
        <w:jc w:val="both"/>
        <w:rPr>
          <w:rFonts w:asciiTheme="majorHAnsi" w:hAnsiTheme="majorHAnsi" w:cstheme="majorHAnsi"/>
        </w:rPr>
      </w:pPr>
    </w:p>
    <w:p w:rsidR="001B6F39" w:rsidRPr="00242007" w:rsidRDefault="001B6F39" w:rsidP="00242007">
      <w:pPr>
        <w:jc w:val="both"/>
        <w:rPr>
          <w:rFonts w:asciiTheme="majorHAnsi" w:hAnsiTheme="majorHAnsi" w:cstheme="majorHAnsi"/>
          <w:b/>
          <w:sz w:val="24"/>
          <w:szCs w:val="24"/>
        </w:rPr>
      </w:pPr>
      <w:r w:rsidRPr="00242007">
        <w:rPr>
          <w:rFonts w:asciiTheme="majorHAnsi" w:hAnsiTheme="majorHAnsi" w:cstheme="majorHAnsi"/>
          <w:b/>
          <w:sz w:val="24"/>
          <w:szCs w:val="24"/>
        </w:rPr>
        <w:t xml:space="preserve">Objectifs de cette méthode : </w:t>
      </w:r>
    </w:p>
    <w:p w:rsidR="001B6F39" w:rsidRPr="00242007" w:rsidRDefault="001B6F39" w:rsidP="00242007">
      <w:pPr>
        <w:pStyle w:val="Paragraphedeliste"/>
        <w:numPr>
          <w:ilvl w:val="0"/>
          <w:numId w:val="18"/>
        </w:numPr>
        <w:spacing w:before="100" w:beforeAutospacing="1" w:after="100" w:afterAutospacing="1" w:line="240" w:lineRule="auto"/>
        <w:jc w:val="both"/>
        <w:rPr>
          <w:rFonts w:asciiTheme="majorHAnsi" w:hAnsiTheme="majorHAnsi" w:cstheme="majorHAnsi"/>
        </w:rPr>
      </w:pPr>
      <w:r w:rsidRPr="00242007">
        <w:rPr>
          <w:rFonts w:asciiTheme="majorHAnsi" w:hAnsiTheme="majorHAnsi" w:cstheme="majorHAnsi"/>
        </w:rPr>
        <w:t>Répartition équitable des subventions en fonction de la taille de la structure</w:t>
      </w:r>
    </w:p>
    <w:p w:rsidR="001B6F39" w:rsidRPr="00242007" w:rsidRDefault="001B6F39" w:rsidP="00242007">
      <w:pPr>
        <w:pStyle w:val="Paragraphedeliste"/>
        <w:numPr>
          <w:ilvl w:val="0"/>
          <w:numId w:val="18"/>
        </w:numPr>
        <w:spacing w:before="100" w:beforeAutospacing="1" w:after="100" w:afterAutospacing="1" w:line="240" w:lineRule="auto"/>
        <w:jc w:val="both"/>
        <w:rPr>
          <w:rFonts w:asciiTheme="majorHAnsi" w:hAnsiTheme="majorHAnsi" w:cstheme="majorHAnsi"/>
        </w:rPr>
      </w:pPr>
      <w:r w:rsidRPr="00242007">
        <w:rPr>
          <w:rFonts w:asciiTheme="majorHAnsi" w:hAnsiTheme="majorHAnsi" w:cstheme="majorHAnsi"/>
        </w:rPr>
        <w:t xml:space="preserve">Valorisation des efforts d’insertion auprès des publics </w:t>
      </w:r>
      <w:r w:rsidR="004329F7">
        <w:rPr>
          <w:rFonts w:asciiTheme="majorHAnsi" w:hAnsiTheme="majorHAnsi" w:cstheme="majorHAnsi"/>
        </w:rPr>
        <w:t xml:space="preserve">bénéficiaires du </w:t>
      </w:r>
      <w:bookmarkStart w:id="5" w:name="_GoBack"/>
      <w:bookmarkEnd w:id="5"/>
      <w:r w:rsidRPr="00242007">
        <w:rPr>
          <w:rFonts w:asciiTheme="majorHAnsi" w:hAnsiTheme="majorHAnsi" w:cstheme="majorHAnsi"/>
        </w:rPr>
        <w:t>RSA</w:t>
      </w:r>
    </w:p>
    <w:p w:rsidR="001B6F39" w:rsidRPr="00242007" w:rsidRDefault="001B6F39" w:rsidP="00242007">
      <w:pPr>
        <w:pStyle w:val="Paragraphedeliste"/>
        <w:numPr>
          <w:ilvl w:val="0"/>
          <w:numId w:val="18"/>
        </w:numPr>
        <w:spacing w:before="100" w:beforeAutospacing="1" w:after="100" w:afterAutospacing="1" w:line="240" w:lineRule="auto"/>
        <w:jc w:val="both"/>
        <w:rPr>
          <w:rFonts w:asciiTheme="majorHAnsi" w:hAnsiTheme="majorHAnsi" w:cstheme="majorHAnsi"/>
        </w:rPr>
      </w:pPr>
      <w:r w:rsidRPr="00242007">
        <w:rPr>
          <w:rFonts w:asciiTheme="majorHAnsi" w:hAnsiTheme="majorHAnsi" w:cstheme="majorHAnsi"/>
        </w:rPr>
        <w:t>Prise en compte des efforts de recrutement des bénéficiaires du RSA les plus éloignés de l’emploi</w:t>
      </w:r>
    </w:p>
    <w:p w:rsidR="001B6F39" w:rsidRDefault="001B6F39" w:rsidP="00242007">
      <w:pPr>
        <w:jc w:val="both"/>
        <w:rPr>
          <w:rFonts w:asciiTheme="majorHAnsi" w:hAnsiTheme="majorHAnsi" w:cstheme="majorHAnsi"/>
        </w:rPr>
      </w:pPr>
    </w:p>
    <w:p w:rsidR="00ED55A5" w:rsidRPr="00242007" w:rsidRDefault="003E766D" w:rsidP="00242007">
      <w:pPr>
        <w:jc w:val="both"/>
        <w:rPr>
          <w:rFonts w:asciiTheme="majorHAnsi" w:hAnsiTheme="majorHAnsi" w:cstheme="majorHAnsi"/>
        </w:rPr>
      </w:pPr>
      <w:bookmarkStart w:id="6" w:name="_Hlk207712759"/>
      <w:proofErr w:type="gramStart"/>
      <w:r w:rsidRPr="00242007">
        <w:rPr>
          <w:rFonts w:ascii="Segoe UI Emoji" w:hAnsi="Segoe UI Emoji" w:cs="Segoe UI Emoji"/>
        </w:rPr>
        <w:t>📎</w:t>
      </w:r>
      <w:proofErr w:type="gramEnd"/>
      <w:r w:rsidRPr="00242007">
        <w:rPr>
          <w:rFonts w:asciiTheme="majorHAnsi" w:hAnsiTheme="majorHAnsi" w:cstheme="majorHAnsi"/>
        </w:rPr>
        <w:t xml:space="preserve"> </w:t>
      </w:r>
      <w:r w:rsidRPr="00242007">
        <w:rPr>
          <w:rFonts w:asciiTheme="majorHAnsi" w:hAnsiTheme="majorHAnsi" w:cstheme="majorHAnsi"/>
          <w:b/>
          <w:sz w:val="24"/>
          <w:szCs w:val="24"/>
        </w:rPr>
        <w:t>Pièces à fournir</w:t>
      </w:r>
    </w:p>
    <w:p w:rsidR="00ED55A5" w:rsidRPr="00242007" w:rsidRDefault="003E766D" w:rsidP="00242007">
      <w:pPr>
        <w:spacing w:after="0"/>
        <w:jc w:val="both"/>
        <w:rPr>
          <w:rFonts w:asciiTheme="majorHAnsi" w:hAnsiTheme="majorHAnsi" w:cstheme="majorHAnsi"/>
        </w:rPr>
      </w:pPr>
      <w:r w:rsidRPr="00242007">
        <w:rPr>
          <w:rFonts w:asciiTheme="majorHAnsi" w:hAnsiTheme="majorHAnsi" w:cstheme="majorHAnsi"/>
        </w:rPr>
        <w:t>Pour bénéficier de la subvention, chaque SIAE doit transmettre :</w:t>
      </w:r>
    </w:p>
    <w:p w:rsidR="00ED55A5" w:rsidRPr="00242007" w:rsidRDefault="003E766D" w:rsidP="00242007">
      <w:pPr>
        <w:pStyle w:val="Paragraphedeliste"/>
        <w:numPr>
          <w:ilvl w:val="0"/>
          <w:numId w:val="17"/>
        </w:numPr>
        <w:spacing w:after="0"/>
        <w:jc w:val="both"/>
        <w:rPr>
          <w:rFonts w:asciiTheme="majorHAnsi" w:hAnsiTheme="majorHAnsi" w:cstheme="majorHAnsi"/>
        </w:rPr>
      </w:pPr>
      <w:r w:rsidRPr="00242007">
        <w:rPr>
          <w:rFonts w:asciiTheme="majorHAnsi" w:hAnsiTheme="majorHAnsi" w:cstheme="majorHAnsi"/>
        </w:rPr>
        <w:t>Le bilan d’activité N-1 avec les ETP d’insertion réalisés par la structure</w:t>
      </w:r>
      <w:r w:rsidR="00242007">
        <w:rPr>
          <w:rFonts w:asciiTheme="majorHAnsi" w:hAnsiTheme="majorHAnsi" w:cstheme="majorHAnsi"/>
        </w:rPr>
        <w:t> ;</w:t>
      </w:r>
    </w:p>
    <w:p w:rsidR="00ED55A5" w:rsidRPr="00242007" w:rsidRDefault="003E766D" w:rsidP="00242007">
      <w:pPr>
        <w:pStyle w:val="Paragraphedeliste"/>
        <w:numPr>
          <w:ilvl w:val="0"/>
          <w:numId w:val="17"/>
        </w:numPr>
        <w:spacing w:after="0"/>
        <w:jc w:val="both"/>
        <w:rPr>
          <w:rFonts w:asciiTheme="majorHAnsi" w:hAnsiTheme="majorHAnsi" w:cstheme="majorHAnsi"/>
        </w:rPr>
      </w:pPr>
      <w:r w:rsidRPr="00242007">
        <w:rPr>
          <w:rFonts w:asciiTheme="majorHAnsi" w:hAnsiTheme="majorHAnsi" w:cstheme="majorHAnsi"/>
        </w:rPr>
        <w:t xml:space="preserve">Le détail des recrutements </w:t>
      </w:r>
      <w:r w:rsidR="009054CA">
        <w:rPr>
          <w:rFonts w:asciiTheme="majorHAnsi" w:hAnsiTheme="majorHAnsi" w:cstheme="majorHAnsi"/>
        </w:rPr>
        <w:t xml:space="preserve">des bénéficiaires du </w:t>
      </w:r>
      <w:r w:rsidRPr="00242007">
        <w:rPr>
          <w:rFonts w:asciiTheme="majorHAnsi" w:hAnsiTheme="majorHAnsi" w:cstheme="majorHAnsi"/>
        </w:rPr>
        <w:t>RSA</w:t>
      </w:r>
      <w:r w:rsidR="00242007">
        <w:rPr>
          <w:rFonts w:asciiTheme="majorHAnsi" w:hAnsiTheme="majorHAnsi" w:cstheme="majorHAnsi"/>
        </w:rPr>
        <w:t> ;</w:t>
      </w:r>
    </w:p>
    <w:p w:rsidR="00ED55A5" w:rsidRPr="00242007" w:rsidRDefault="003E766D" w:rsidP="00242007">
      <w:pPr>
        <w:pStyle w:val="Paragraphedeliste"/>
        <w:numPr>
          <w:ilvl w:val="0"/>
          <w:numId w:val="17"/>
        </w:numPr>
        <w:spacing w:after="0"/>
        <w:jc w:val="both"/>
        <w:rPr>
          <w:rFonts w:asciiTheme="majorHAnsi" w:hAnsiTheme="majorHAnsi" w:cstheme="majorHAnsi"/>
        </w:rPr>
      </w:pPr>
      <w:r w:rsidRPr="00242007">
        <w:rPr>
          <w:rFonts w:asciiTheme="majorHAnsi" w:hAnsiTheme="majorHAnsi" w:cstheme="majorHAnsi"/>
        </w:rPr>
        <w:t xml:space="preserve">Les informations relatives à l’ancienneté des </w:t>
      </w:r>
      <w:r w:rsidR="009054CA">
        <w:rPr>
          <w:rFonts w:asciiTheme="majorHAnsi" w:hAnsiTheme="majorHAnsi" w:cstheme="majorHAnsi"/>
        </w:rPr>
        <w:t xml:space="preserve">bénéficiaires du </w:t>
      </w:r>
      <w:r w:rsidRPr="00242007">
        <w:rPr>
          <w:rFonts w:asciiTheme="majorHAnsi" w:hAnsiTheme="majorHAnsi" w:cstheme="majorHAnsi"/>
        </w:rPr>
        <w:t xml:space="preserve">RSA dans le </w:t>
      </w:r>
      <w:r w:rsidR="009054CA">
        <w:rPr>
          <w:rFonts w:asciiTheme="majorHAnsi" w:hAnsiTheme="majorHAnsi" w:cstheme="majorHAnsi"/>
        </w:rPr>
        <w:t>dispositif</w:t>
      </w:r>
      <w:r w:rsidR="00242007">
        <w:rPr>
          <w:rFonts w:asciiTheme="majorHAnsi" w:hAnsiTheme="majorHAnsi" w:cstheme="majorHAnsi"/>
        </w:rPr>
        <w:t>.</w:t>
      </w:r>
    </w:p>
    <w:p w:rsidR="00805EF1" w:rsidRPr="00242007" w:rsidRDefault="00805EF1" w:rsidP="00242007">
      <w:pPr>
        <w:jc w:val="both"/>
        <w:rPr>
          <w:rFonts w:asciiTheme="majorHAnsi" w:hAnsiTheme="majorHAnsi" w:cstheme="majorHAnsi"/>
        </w:rPr>
      </w:pPr>
    </w:p>
    <w:p w:rsidR="00ED55A5" w:rsidRPr="00242007" w:rsidRDefault="003E766D" w:rsidP="00242007">
      <w:pPr>
        <w:jc w:val="both"/>
        <w:rPr>
          <w:rFonts w:asciiTheme="majorHAnsi" w:hAnsiTheme="majorHAnsi" w:cstheme="majorHAnsi"/>
        </w:rPr>
      </w:pPr>
      <w:proofErr w:type="gramStart"/>
      <w:r w:rsidRPr="00242007">
        <w:rPr>
          <w:rFonts w:ascii="Segoe UI Emoji" w:hAnsi="Segoe UI Emoji" w:cs="Segoe UI Emoji"/>
        </w:rPr>
        <w:t>📅</w:t>
      </w:r>
      <w:proofErr w:type="gramEnd"/>
      <w:r w:rsidRPr="00242007">
        <w:rPr>
          <w:rFonts w:asciiTheme="majorHAnsi" w:hAnsiTheme="majorHAnsi" w:cstheme="majorHAnsi"/>
        </w:rPr>
        <w:t xml:space="preserve"> </w:t>
      </w:r>
      <w:r w:rsidRPr="00242007">
        <w:rPr>
          <w:rFonts w:asciiTheme="majorHAnsi" w:hAnsiTheme="majorHAnsi" w:cstheme="majorHAnsi"/>
          <w:b/>
          <w:sz w:val="24"/>
          <w:szCs w:val="24"/>
        </w:rPr>
        <w:t>Calendrier</w:t>
      </w:r>
    </w:p>
    <w:p w:rsidR="00242007" w:rsidRDefault="003E766D" w:rsidP="00242007">
      <w:pPr>
        <w:jc w:val="both"/>
        <w:rPr>
          <w:rFonts w:asciiTheme="majorHAnsi" w:hAnsiTheme="majorHAnsi" w:cstheme="majorHAnsi"/>
        </w:rPr>
      </w:pPr>
      <w:r w:rsidRPr="00242007">
        <w:rPr>
          <w:rFonts w:asciiTheme="majorHAnsi" w:hAnsiTheme="majorHAnsi" w:cstheme="majorHAnsi"/>
        </w:rPr>
        <w:t xml:space="preserve">Les demandes doivent être déposées </w:t>
      </w:r>
      <w:r w:rsidRPr="00AF49AC">
        <w:rPr>
          <w:rFonts w:asciiTheme="majorHAnsi" w:hAnsiTheme="majorHAnsi" w:cstheme="majorHAnsi"/>
          <w:b/>
        </w:rPr>
        <w:t>avant le</w:t>
      </w:r>
      <w:r w:rsidRPr="00242007">
        <w:rPr>
          <w:rFonts w:asciiTheme="majorHAnsi" w:hAnsiTheme="majorHAnsi" w:cstheme="majorHAnsi"/>
        </w:rPr>
        <w:t xml:space="preserve"> </w:t>
      </w:r>
      <w:r w:rsidR="00805EF1" w:rsidRPr="00AF49AC">
        <w:rPr>
          <w:rFonts w:asciiTheme="majorHAnsi" w:hAnsiTheme="majorHAnsi" w:cstheme="majorHAnsi"/>
          <w:b/>
        </w:rPr>
        <w:t>31 octobre 2025</w:t>
      </w:r>
      <w:r w:rsidR="00242007">
        <w:rPr>
          <w:rFonts w:asciiTheme="majorHAnsi" w:hAnsiTheme="majorHAnsi" w:cstheme="majorHAnsi"/>
        </w:rPr>
        <w:t xml:space="preserve"> sur le nouveau </w:t>
      </w:r>
      <w:r w:rsidR="00242007" w:rsidRPr="00242007">
        <w:rPr>
          <w:rFonts w:asciiTheme="majorHAnsi" w:hAnsiTheme="majorHAnsi" w:cstheme="majorHAnsi"/>
          <w:b/>
        </w:rPr>
        <w:t>portail ‘Mes Démarches’</w:t>
      </w:r>
    </w:p>
    <w:p w:rsidR="00242007" w:rsidRDefault="004329F7" w:rsidP="00242007">
      <w:pPr>
        <w:jc w:val="both"/>
        <w:rPr>
          <w:rFonts w:asciiTheme="majorHAnsi" w:hAnsiTheme="majorHAnsi" w:cstheme="majorHAnsi"/>
        </w:rPr>
      </w:pPr>
      <w:hyperlink r:id="rId9" w:history="1">
        <w:r w:rsidR="00242007" w:rsidRPr="00242007">
          <w:rPr>
            <w:rStyle w:val="Lienhypertexte"/>
            <w:rFonts w:asciiTheme="majorHAnsi" w:hAnsiTheme="majorHAnsi" w:cstheme="majorHAnsi"/>
            <w:b/>
            <w:bCs/>
          </w:rPr>
          <w:t>https://mesdemarches.territoiredebelfort.fr</w:t>
        </w:r>
      </w:hyperlink>
    </w:p>
    <w:p w:rsidR="00ED55A5" w:rsidRPr="00242007" w:rsidRDefault="003E766D" w:rsidP="00242007">
      <w:pPr>
        <w:jc w:val="both"/>
        <w:rPr>
          <w:rFonts w:asciiTheme="majorHAnsi" w:hAnsiTheme="majorHAnsi" w:cstheme="majorHAnsi"/>
        </w:rPr>
      </w:pPr>
      <w:r w:rsidRPr="00242007">
        <w:rPr>
          <w:rFonts w:asciiTheme="majorHAnsi" w:hAnsiTheme="majorHAnsi" w:cstheme="majorHAnsi"/>
        </w:rPr>
        <w:t>Tout dossier incomplet ou hors délai ne pourra être traité.</w:t>
      </w:r>
      <w:bookmarkEnd w:id="6"/>
    </w:p>
    <w:sectPr w:rsidR="00ED55A5" w:rsidRPr="00242007" w:rsidSect="00805EF1">
      <w:pgSz w:w="11906" w:h="16838"/>
      <w:pgMar w:top="851" w:right="1134"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05" w:rsidRDefault="003E766D">
      <w:pPr>
        <w:spacing w:after="0" w:line="240" w:lineRule="auto"/>
      </w:pPr>
      <w:r>
        <w:separator/>
      </w:r>
    </w:p>
  </w:endnote>
  <w:endnote w:type="continuationSeparator" w:id="0">
    <w:p w:rsidR="007D7805" w:rsidRDefault="003E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05" w:rsidRDefault="003E766D">
      <w:pPr>
        <w:spacing w:after="0" w:line="240" w:lineRule="auto"/>
      </w:pPr>
      <w:r>
        <w:separator/>
      </w:r>
    </w:p>
  </w:footnote>
  <w:footnote w:type="continuationSeparator" w:id="0">
    <w:p w:rsidR="007D7805" w:rsidRDefault="003E7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216C53A9"/>
    <w:multiLevelType w:val="hybridMultilevel"/>
    <w:tmpl w:val="C122D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F66E4D"/>
    <w:multiLevelType w:val="hybridMultilevel"/>
    <w:tmpl w:val="7E506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154F90"/>
    <w:multiLevelType w:val="hybridMultilevel"/>
    <w:tmpl w:val="3642F75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FE74076"/>
    <w:multiLevelType w:val="multilevel"/>
    <w:tmpl w:val="3B78D044"/>
    <w:lvl w:ilvl="0">
      <w:start w:val="1"/>
      <w:numFmt w:val="decimal"/>
      <w:lvlText w:val="%1."/>
      <w:lvlJc w:val="left"/>
      <w:pPr>
        <w:ind w:left="1500" w:hanging="360"/>
      </w:pPr>
    </w:lvl>
    <w:lvl w:ilvl="1">
      <w:start w:val="1"/>
      <w:numFmt w:val="decimal"/>
      <w:isLgl/>
      <w:lvlText w:val="%1.%2"/>
      <w:lvlJc w:val="left"/>
      <w:pPr>
        <w:ind w:left="1810" w:hanging="37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340" w:hanging="1800"/>
      </w:pPr>
      <w:rPr>
        <w:rFonts w:hint="default"/>
      </w:rPr>
    </w:lvl>
  </w:abstractNum>
  <w:abstractNum w:abstractNumId="13" w15:restartNumberingAfterBreak="0">
    <w:nsid w:val="52BA74F6"/>
    <w:multiLevelType w:val="hybridMultilevel"/>
    <w:tmpl w:val="7F069A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852600"/>
    <w:multiLevelType w:val="hybridMultilevel"/>
    <w:tmpl w:val="19A422E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21715D"/>
    <w:multiLevelType w:val="hybridMultilevel"/>
    <w:tmpl w:val="7FE606CA"/>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7806E50"/>
    <w:multiLevelType w:val="multilevel"/>
    <w:tmpl w:val="DC2AD5AC"/>
    <w:lvl w:ilvl="0">
      <w:start w:val="1"/>
      <w:numFmt w:val="lowerLetter"/>
      <w:lvlText w:val="%1."/>
      <w:lvlJc w:val="left"/>
      <w:pPr>
        <w:ind w:left="1500" w:hanging="360"/>
      </w:pPr>
    </w:lvl>
    <w:lvl w:ilvl="1">
      <w:start w:val="1"/>
      <w:numFmt w:val="decimal"/>
      <w:isLgl/>
      <w:lvlText w:val="%1.%2"/>
      <w:lvlJc w:val="left"/>
      <w:pPr>
        <w:ind w:left="1810" w:hanging="37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340" w:hanging="1800"/>
      </w:pPr>
      <w:rPr>
        <w:rFonts w:hint="default"/>
      </w:rPr>
    </w:lvl>
  </w:abstractNum>
  <w:abstractNum w:abstractNumId="17" w15:restartNumberingAfterBreak="0">
    <w:nsid w:val="79BD078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7E0D178B"/>
    <w:multiLevelType w:val="hybridMultilevel"/>
    <w:tmpl w:val="CF30E8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7"/>
  </w:num>
  <w:num w:numId="12">
    <w:abstractNumId w:val="16"/>
  </w:num>
  <w:num w:numId="13">
    <w:abstractNumId w:val="10"/>
  </w:num>
  <w:num w:numId="14">
    <w:abstractNumId w:val="14"/>
  </w:num>
  <w:num w:numId="15">
    <w:abstractNumId w:val="15"/>
  </w:num>
  <w:num w:numId="16">
    <w:abstractNumId w:val="11"/>
  </w:num>
  <w:num w:numId="17">
    <w:abstractNumId w:val="13"/>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2F33"/>
    <w:rsid w:val="00132484"/>
    <w:rsid w:val="0015074B"/>
    <w:rsid w:val="001B2304"/>
    <w:rsid w:val="001B6F39"/>
    <w:rsid w:val="00242007"/>
    <w:rsid w:val="002436FD"/>
    <w:rsid w:val="0029639D"/>
    <w:rsid w:val="002D7060"/>
    <w:rsid w:val="00326F90"/>
    <w:rsid w:val="003E766D"/>
    <w:rsid w:val="0042001C"/>
    <w:rsid w:val="004329F7"/>
    <w:rsid w:val="0054619C"/>
    <w:rsid w:val="007470C2"/>
    <w:rsid w:val="007575C1"/>
    <w:rsid w:val="0076161C"/>
    <w:rsid w:val="00795FFE"/>
    <w:rsid w:val="007D7805"/>
    <w:rsid w:val="00805EF1"/>
    <w:rsid w:val="00855042"/>
    <w:rsid w:val="008F257F"/>
    <w:rsid w:val="009002A0"/>
    <w:rsid w:val="009054CA"/>
    <w:rsid w:val="00920372"/>
    <w:rsid w:val="00AA1D8D"/>
    <w:rsid w:val="00AF49AC"/>
    <w:rsid w:val="00B47730"/>
    <w:rsid w:val="00CB0664"/>
    <w:rsid w:val="00D06680"/>
    <w:rsid w:val="00DC2366"/>
    <w:rsid w:val="00E4555E"/>
    <w:rsid w:val="00ED55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E1B01"/>
  <w14:defaultImageDpi w14:val="300"/>
  <w15:docId w15:val="{7017809A-20C1-4BB3-AD7A-E33C9531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lang w:val="fr-FR"/>
    </w:rPr>
  </w:style>
  <w:style w:type="paragraph" w:styleId="Titre1">
    <w:name w:val="heading 1"/>
    <w:basedOn w:val="Normal"/>
    <w:next w:val="Normal"/>
    <w:link w:val="Titre1Car"/>
    <w:uiPriority w:val="9"/>
    <w:qFormat/>
    <w:rsid w:val="00FC693F"/>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numPr>
        <w:ilvl w:val="7"/>
        <w:numId w:val="11"/>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Grilledutableau1">
    <w:name w:val="Grille du tableau1"/>
    <w:basedOn w:val="TableauNormal"/>
    <w:next w:val="Grilledutableau"/>
    <w:uiPriority w:val="59"/>
    <w:rsid w:val="007575C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2007"/>
    <w:rPr>
      <w:color w:val="0000FF" w:themeColor="hyperlink"/>
      <w:u w:val="single"/>
    </w:rPr>
  </w:style>
  <w:style w:type="character" w:styleId="Mentionnonrsolue">
    <w:name w:val="Unresolved Mention"/>
    <w:basedOn w:val="Policepardfaut"/>
    <w:uiPriority w:val="99"/>
    <w:semiHidden/>
    <w:unhideWhenUsed/>
    <w:rsid w:val="0024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4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sdemarches.territoiredebelfor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D85D-14E3-47FD-B8DB-B8C51DF9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564</Words>
  <Characters>3103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Fischer Sabrina</cp:lastModifiedBy>
  <cp:revision>8</cp:revision>
  <cp:lastPrinted>2025-09-02T12:13:00Z</cp:lastPrinted>
  <dcterms:created xsi:type="dcterms:W3CDTF">2025-09-02T10:45:00Z</dcterms:created>
  <dcterms:modified xsi:type="dcterms:W3CDTF">2025-09-02T15:12:00Z</dcterms:modified>
  <cp:category/>
</cp:coreProperties>
</file>